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98B2" w14:textId="31713268" w:rsidR="00F92647" w:rsidRDefault="00F92647" w:rsidP="001E7D21">
      <w:pPr>
        <w:numPr>
          <w:ilvl w:val="1"/>
          <w:numId w:val="0"/>
        </w:numPr>
        <w:rPr>
          <w:rFonts w:eastAsia="PMingLiU"/>
          <w:sz w:val="22"/>
          <w:szCs w:val="22"/>
          <w:lang w:eastAsia="zh-TW"/>
        </w:rPr>
      </w:pPr>
      <w:r w:rsidRPr="007138B6">
        <w:rPr>
          <w:rFonts w:eastAsia="PMingLiU"/>
          <w:sz w:val="22"/>
          <w:szCs w:val="22"/>
          <w:lang w:eastAsia="zh-TW"/>
        </w:rPr>
        <w:t>Załącznik</w:t>
      </w:r>
      <w:r w:rsidR="002642B8">
        <w:rPr>
          <w:rFonts w:eastAsia="PMingLiU"/>
          <w:sz w:val="22"/>
          <w:szCs w:val="22"/>
          <w:lang w:eastAsia="zh-TW"/>
        </w:rPr>
        <w:t xml:space="preserve"> </w:t>
      </w:r>
      <w:r w:rsidRPr="007138B6">
        <w:rPr>
          <w:rFonts w:eastAsia="PMingLiU"/>
          <w:sz w:val="22"/>
          <w:szCs w:val="22"/>
          <w:lang w:eastAsia="zh-TW"/>
        </w:rPr>
        <w:t>B.5.</w:t>
      </w:r>
    </w:p>
    <w:p w14:paraId="709BC23F" w14:textId="77777777" w:rsidR="00F92647" w:rsidRPr="007138B6" w:rsidRDefault="00F92647" w:rsidP="001E7D21">
      <w:pPr>
        <w:numPr>
          <w:ilvl w:val="1"/>
          <w:numId w:val="0"/>
        </w:numPr>
        <w:rPr>
          <w:rFonts w:eastAsia="PMingLiU"/>
          <w:sz w:val="22"/>
          <w:szCs w:val="22"/>
          <w:lang w:eastAsia="zh-TW"/>
        </w:rPr>
      </w:pPr>
    </w:p>
    <w:p w14:paraId="2277E612" w14:textId="74D007B4" w:rsidR="00F92647" w:rsidRPr="00495260" w:rsidRDefault="00F92647" w:rsidP="00F92647">
      <w:pPr>
        <w:autoSpaceDE w:val="0"/>
        <w:autoSpaceDN w:val="0"/>
        <w:adjustRightInd w:val="0"/>
        <w:spacing w:after="240"/>
        <w:rPr>
          <w:sz w:val="40"/>
        </w:rPr>
      </w:pPr>
      <w:r w:rsidRPr="00495260">
        <w:rPr>
          <w:b/>
          <w:sz w:val="28"/>
          <w:szCs w:val="18"/>
        </w:rPr>
        <w:t>LECZENIE</w:t>
      </w:r>
      <w:r w:rsidR="002642B8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CHORYCH</w:t>
      </w:r>
      <w:r w:rsidR="002642B8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NA</w:t>
      </w:r>
      <w:r w:rsidR="002642B8">
        <w:rPr>
          <w:b/>
          <w:sz w:val="28"/>
          <w:szCs w:val="18"/>
        </w:rPr>
        <w:t xml:space="preserve"> </w:t>
      </w:r>
      <w:r w:rsidRPr="00495260">
        <w:rPr>
          <w:b/>
          <w:sz w:val="28"/>
          <w:szCs w:val="18"/>
        </w:rPr>
        <w:t>RAKA</w:t>
      </w:r>
      <w:r w:rsidR="002642B8">
        <w:rPr>
          <w:b/>
          <w:sz w:val="28"/>
          <w:szCs w:val="18"/>
        </w:rPr>
        <w:t xml:space="preserve"> </w:t>
      </w:r>
      <w:r w:rsidRPr="00495260">
        <w:rPr>
          <w:b/>
          <w:sz w:val="28"/>
          <w:szCs w:val="18"/>
        </w:rPr>
        <w:t>WĄTROBO</w:t>
      </w:r>
      <w:r>
        <w:rPr>
          <w:b/>
          <w:sz w:val="28"/>
          <w:szCs w:val="18"/>
        </w:rPr>
        <w:t>WO</w:t>
      </w:r>
      <w:r w:rsidRPr="00495260">
        <w:rPr>
          <w:b/>
          <w:sz w:val="28"/>
          <w:szCs w:val="18"/>
        </w:rPr>
        <w:t>KOMÓRKOWEGO</w:t>
      </w:r>
      <w:r w:rsidR="002642B8">
        <w:rPr>
          <w:b/>
          <w:sz w:val="28"/>
          <w:szCs w:val="18"/>
        </w:rPr>
        <w:t xml:space="preserve"> </w:t>
      </w:r>
      <w:r w:rsidRPr="00495260">
        <w:rPr>
          <w:b/>
          <w:sz w:val="28"/>
          <w:szCs w:val="18"/>
        </w:rPr>
        <w:t>(ICD-10</w:t>
      </w:r>
      <w:r>
        <w:rPr>
          <w:b/>
          <w:sz w:val="28"/>
          <w:szCs w:val="18"/>
        </w:rPr>
        <w:t>:</w:t>
      </w:r>
      <w:r w:rsidR="002642B8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C22.0</w:t>
      </w:r>
      <w:r w:rsidRPr="00495260">
        <w:rPr>
          <w:b/>
          <w:sz w:val="28"/>
          <w:szCs w:val="1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4115"/>
        <w:gridCol w:w="5610"/>
      </w:tblGrid>
      <w:tr w:rsidR="00565830" w:rsidRPr="00966F29" w14:paraId="466A3A7C" w14:textId="77777777" w:rsidTr="002642B8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0CEA" w14:textId="28F2F5F2" w:rsidR="00565830" w:rsidRPr="00966F29" w:rsidRDefault="00565830" w:rsidP="00ED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ZAKRES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ŚWIADCZENIA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565830" w:rsidRPr="00966F29" w14:paraId="398EA4F9" w14:textId="77777777" w:rsidTr="002642B8">
        <w:trPr>
          <w:trHeight w:val="56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79D7" w14:textId="77777777" w:rsidR="00565830" w:rsidRPr="00966F29" w:rsidRDefault="00565830" w:rsidP="00ED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224C" w14:textId="1605523C" w:rsidR="00565830" w:rsidRPr="00966F29" w:rsidRDefault="00565830" w:rsidP="00ED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SCHEMAT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DAWKOWANIA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LEKÓW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="00C7370A">
              <w:rPr>
                <w:b/>
                <w:bCs/>
                <w:sz w:val="20"/>
                <w:szCs w:val="20"/>
              </w:rPr>
              <w:br/>
            </w:r>
            <w:r w:rsidRPr="00966F29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7462" w14:textId="1552E611" w:rsidR="00565830" w:rsidRPr="00966F29" w:rsidRDefault="00565830" w:rsidP="00ED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BADANIA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DIAGNOSTYCZNE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WYKONYWANE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="00C7370A">
              <w:rPr>
                <w:b/>
                <w:bCs/>
                <w:sz w:val="20"/>
                <w:szCs w:val="20"/>
              </w:rPr>
              <w:br/>
            </w:r>
            <w:r w:rsidRPr="00966F29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RAMACH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565830" w:rsidRPr="001349B5" w14:paraId="0B39F6D5" w14:textId="77777777" w:rsidTr="002642B8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BE8" w14:textId="6FD9CC7A" w:rsidR="00F92647" w:rsidRPr="00C7370A" w:rsidRDefault="00F92647" w:rsidP="00C7370A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programie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finansuje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się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dwie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linie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raka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C7370A">
              <w:rPr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(HCC)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substancjami:</w:t>
            </w:r>
          </w:p>
          <w:p w14:paraId="6B6C88ED" w14:textId="2708A9F9" w:rsidR="00F92647" w:rsidRPr="00ED2C9B" w:rsidRDefault="00F92647" w:rsidP="00ED2C9B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ED2C9B">
              <w:rPr>
                <w:sz w:val="20"/>
                <w:szCs w:val="20"/>
              </w:rPr>
              <w:t>atezolizumab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bewacyzumabem</w:t>
            </w:r>
            <w:proofErr w:type="spellEnd"/>
            <w:r w:rsidR="00F677DB" w:rsidRPr="00ED2C9B">
              <w:rPr>
                <w:sz w:val="20"/>
                <w:szCs w:val="20"/>
              </w:rPr>
              <w:t>,</w:t>
            </w:r>
          </w:p>
          <w:p w14:paraId="3DCDEDE0" w14:textId="0B7290E4" w:rsidR="00F92647" w:rsidRPr="00ED2C9B" w:rsidRDefault="00F92647" w:rsidP="00ED2C9B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ED2C9B">
              <w:rPr>
                <w:sz w:val="20"/>
                <w:szCs w:val="20"/>
              </w:rPr>
              <w:t>kabozantynib</w:t>
            </w:r>
            <w:proofErr w:type="spellEnd"/>
            <w:r w:rsidR="00F33888" w:rsidRPr="00ED2C9B">
              <w:rPr>
                <w:sz w:val="20"/>
                <w:szCs w:val="20"/>
              </w:rPr>
              <w:t>.</w:t>
            </w:r>
          </w:p>
          <w:p w14:paraId="10B2E591" w14:textId="77777777" w:rsidR="00F3571E" w:rsidRPr="00ED2C9B" w:rsidRDefault="00F3571E" w:rsidP="00ED2C9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2620EFF9" w14:textId="5645B3EE" w:rsidR="006519A0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pierwszej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linii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dostępn</w:t>
            </w:r>
            <w:r w:rsidR="007820ED" w:rsidRPr="00C7370A">
              <w:rPr>
                <w:sz w:val="20"/>
                <w:szCs w:val="20"/>
              </w:rPr>
              <w:t>a</w:t>
            </w:r>
            <w:r w:rsidR="002642B8">
              <w:rPr>
                <w:sz w:val="20"/>
                <w:szCs w:val="20"/>
              </w:rPr>
              <w:t xml:space="preserve"> </w:t>
            </w:r>
            <w:r w:rsidR="007820ED" w:rsidRPr="00C7370A">
              <w:rPr>
                <w:sz w:val="20"/>
                <w:szCs w:val="20"/>
              </w:rPr>
              <w:t>jest</w:t>
            </w:r>
            <w:r w:rsidR="002642B8">
              <w:rPr>
                <w:sz w:val="20"/>
                <w:szCs w:val="20"/>
              </w:rPr>
              <w:t xml:space="preserve"> </w:t>
            </w:r>
            <w:r w:rsidR="007820ED" w:rsidRPr="00C7370A">
              <w:rPr>
                <w:sz w:val="20"/>
                <w:szCs w:val="20"/>
              </w:rPr>
              <w:t>jedna</w:t>
            </w:r>
            <w:r w:rsidR="002642B8">
              <w:rPr>
                <w:sz w:val="20"/>
                <w:szCs w:val="20"/>
              </w:rPr>
              <w:t xml:space="preserve"> </w:t>
            </w:r>
            <w:r w:rsidR="007820ED" w:rsidRPr="00C7370A">
              <w:rPr>
                <w:sz w:val="20"/>
                <w:szCs w:val="20"/>
              </w:rPr>
              <w:t>terapi</w:t>
            </w:r>
            <w:r w:rsidR="006519A0" w:rsidRPr="00C7370A">
              <w:rPr>
                <w:sz w:val="20"/>
                <w:szCs w:val="20"/>
              </w:rPr>
              <w:t>a:</w:t>
            </w:r>
          </w:p>
          <w:p w14:paraId="32D81883" w14:textId="421A4944" w:rsidR="006C06BC" w:rsidRPr="00ED2C9B" w:rsidRDefault="006519A0" w:rsidP="00C7370A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l</w:t>
            </w:r>
            <w:r w:rsidR="00F92647" w:rsidRPr="00ED2C9B">
              <w:rPr>
                <w:sz w:val="20"/>
                <w:szCs w:val="20"/>
              </w:rPr>
              <w:t>eczenie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="00F92647" w:rsidRPr="00ED2C9B">
              <w:rPr>
                <w:sz w:val="20"/>
                <w:szCs w:val="20"/>
              </w:rPr>
              <w:t>atezolizumabem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="00F92647" w:rsidRPr="00ED2C9B">
              <w:rPr>
                <w:sz w:val="20"/>
                <w:szCs w:val="20"/>
              </w:rPr>
              <w:t>bewacyzumabem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pacjentów,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u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których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niestosowano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przeszłości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systemowego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powodu</w:t>
            </w:r>
            <w:r w:rsidR="002642B8">
              <w:rPr>
                <w:sz w:val="20"/>
                <w:szCs w:val="20"/>
              </w:rPr>
              <w:t xml:space="preserve"> </w:t>
            </w:r>
            <w:r w:rsidR="006C06BC" w:rsidRPr="00ED2C9B">
              <w:rPr>
                <w:sz w:val="20"/>
                <w:szCs w:val="20"/>
              </w:rPr>
              <w:t>raka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="006C06BC" w:rsidRPr="00ED2C9B">
              <w:rPr>
                <w:sz w:val="20"/>
                <w:szCs w:val="20"/>
              </w:rPr>
              <w:t>wątrobowokomórkowego</w:t>
            </w:r>
            <w:proofErr w:type="spellEnd"/>
            <w:r w:rsidR="006C06BC" w:rsidRPr="00ED2C9B">
              <w:rPr>
                <w:sz w:val="20"/>
                <w:szCs w:val="20"/>
              </w:rPr>
              <w:t>.</w:t>
            </w:r>
          </w:p>
          <w:p w14:paraId="5CECBFE5" w14:textId="77777777" w:rsidR="006C06BC" w:rsidRPr="00ED2C9B" w:rsidRDefault="006C06BC" w:rsidP="00ED2C9B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2D6DF4F" w14:textId="4FC57A25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drugiej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linii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dostępna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jest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jedna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terapia:</w:t>
            </w:r>
          </w:p>
          <w:p w14:paraId="6841C153" w14:textId="58CE0A31" w:rsidR="00F92647" w:rsidRPr="00ED2C9B" w:rsidRDefault="00F92647" w:rsidP="00C7370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kabozantynibem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(po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uprzednim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nieskutecznym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inhibitorami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kinaz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tyrozynowych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immunoterapią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antyangiogennym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nietolerancją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warunkiem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ustąpienia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istotnych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działań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niepożądanych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stosowanej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wcześniej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terapii).</w:t>
            </w:r>
          </w:p>
          <w:p w14:paraId="3DA26F02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B89821C" w14:textId="054B5511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7370A">
              <w:rPr>
                <w:b/>
                <w:bCs/>
                <w:sz w:val="20"/>
                <w:szCs w:val="20"/>
              </w:rPr>
              <w:t>Leczenie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C7370A">
              <w:rPr>
                <w:b/>
                <w:bCs/>
                <w:sz w:val="20"/>
                <w:szCs w:val="20"/>
              </w:rPr>
              <w:t>raka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370A">
              <w:rPr>
                <w:b/>
                <w:bCs/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C7370A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C7370A">
              <w:rPr>
                <w:b/>
                <w:bCs/>
                <w:sz w:val="20"/>
                <w:szCs w:val="20"/>
              </w:rPr>
              <w:t>programie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C7370A">
              <w:rPr>
                <w:b/>
                <w:bCs/>
                <w:sz w:val="20"/>
                <w:szCs w:val="20"/>
              </w:rPr>
              <w:t>obejmuje:</w:t>
            </w:r>
          </w:p>
          <w:p w14:paraId="0551329C" w14:textId="74B76AAB" w:rsidR="00F92647" w:rsidRPr="00ED2C9B" w:rsidRDefault="00F92647" w:rsidP="00C7370A">
            <w:pPr>
              <w:pStyle w:val="Akapitzlist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leczenie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raka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inhibitorami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kinaz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tyrozynowych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kabozantynibem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</w:t>
            </w:r>
          </w:p>
          <w:p w14:paraId="170F3443" w14:textId="77777777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albo</w:t>
            </w:r>
          </w:p>
          <w:p w14:paraId="3D549A8C" w14:textId="5CDC4FF3" w:rsidR="00F92647" w:rsidRPr="00ED2C9B" w:rsidRDefault="00F92647" w:rsidP="00C7370A">
            <w:pPr>
              <w:pStyle w:val="Akapitzlist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lastRenderedPageBreak/>
              <w:t>immunoterapia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leczeniem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antyangiogennym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atezolizumabem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bewacyzumabem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).</w:t>
            </w:r>
          </w:p>
          <w:p w14:paraId="71B9CD24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FFFC793" w14:textId="4EDFEE9A" w:rsidR="00F92647" w:rsidRPr="00ED2C9B" w:rsidRDefault="00F92647" w:rsidP="00C7370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Kryteria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kwalifikacji</w:t>
            </w:r>
          </w:p>
          <w:p w14:paraId="52953607" w14:textId="6514B8D0" w:rsidR="00B26AEF" w:rsidRPr="00ED2C9B" w:rsidRDefault="00B26AEF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wiek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18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lat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powyżej</w:t>
            </w:r>
            <w:r w:rsidR="00F33888" w:rsidRPr="00ED2C9B">
              <w:rPr>
                <w:sz w:val="20"/>
                <w:szCs w:val="20"/>
              </w:rPr>
              <w:t>;</w:t>
            </w:r>
          </w:p>
          <w:p w14:paraId="12984904" w14:textId="2DF90060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histologiczn</w:t>
            </w:r>
            <w:r w:rsidR="007820ED" w:rsidRPr="00ED2C9B">
              <w:rPr>
                <w:sz w:val="20"/>
                <w:szCs w:val="20"/>
              </w:rPr>
              <w:t>i</w:t>
            </w:r>
            <w:r w:rsidRPr="00ED2C9B">
              <w:rPr>
                <w:sz w:val="20"/>
                <w:szCs w:val="20"/>
              </w:rPr>
              <w:t>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cytologiczn</w:t>
            </w:r>
            <w:r w:rsidR="007820ED" w:rsidRPr="00ED2C9B">
              <w:rPr>
                <w:sz w:val="20"/>
                <w:szCs w:val="20"/>
              </w:rPr>
              <w:t>i</w:t>
            </w:r>
            <w:r w:rsidRPr="00ED2C9B">
              <w:rPr>
                <w:sz w:val="20"/>
                <w:szCs w:val="20"/>
              </w:rPr>
              <w:t>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potwierdzony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miejscowo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zaawansowany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przerzutowy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rak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wątrobowokomórkowy</w:t>
            </w:r>
            <w:proofErr w:type="spellEnd"/>
            <w:r w:rsidRPr="00ED2C9B">
              <w:rPr>
                <w:sz w:val="20"/>
                <w:szCs w:val="20"/>
              </w:rPr>
              <w:t>.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pacjentów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marskością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wątroby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zmianami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średnicy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≥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możliwe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jest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odstąpienie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rozpoznania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histologicznego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cytologicznego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warunkiem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uzyskania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typowego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obrazu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dla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HCC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wielofazowej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tomografii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(TK)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rezonansie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magnetycznym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kontrastem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(MRI),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wzmocnieniem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tętniczej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(zmiana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hiperdensyjna</w:t>
            </w:r>
            <w:proofErr w:type="spellEnd"/>
            <w:r w:rsidRPr="00ED2C9B">
              <w:rPr>
                <w:sz w:val="20"/>
                <w:szCs w:val="20"/>
              </w:rPr>
              <w:t>)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wypłukiwaniem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kontrastu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ogniska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żylnej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wrotnej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opóźnionej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(zmiana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hipodensyjna);</w:t>
            </w:r>
          </w:p>
          <w:p w14:paraId="7735E69B" w14:textId="627D2BD0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brak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możliwości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zastosowania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radykalnego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chirurgicznego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lokoregionalnych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nieskuteczność;</w:t>
            </w:r>
          </w:p>
          <w:p w14:paraId="558F40B7" w14:textId="010B1DF0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stan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sprawności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0-1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ECOG;</w:t>
            </w:r>
          </w:p>
          <w:p w14:paraId="73B27CF3" w14:textId="09A2B9D2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czynnościowy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stan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wątroby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kategorii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podstawie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klasyfikacji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Child-</w:t>
            </w:r>
            <w:proofErr w:type="spellStart"/>
            <w:r w:rsidRPr="00ED2C9B">
              <w:rPr>
                <w:sz w:val="20"/>
                <w:szCs w:val="20"/>
              </w:rPr>
              <w:t>Pugh</w:t>
            </w:r>
            <w:proofErr w:type="spellEnd"/>
            <w:r w:rsidRPr="00ED2C9B">
              <w:rPr>
                <w:sz w:val="20"/>
                <w:szCs w:val="20"/>
              </w:rPr>
              <w:t>;</w:t>
            </w:r>
          </w:p>
          <w:p w14:paraId="217079A1" w14:textId="7B6E2A8C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obecność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przynajmniej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jednej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zmiany</w:t>
            </w:r>
            <w:r w:rsidR="002642B8">
              <w:rPr>
                <w:sz w:val="20"/>
                <w:szCs w:val="20"/>
              </w:rPr>
              <w:t xml:space="preserve"> </w:t>
            </w:r>
            <w:r w:rsidR="00FB0B10" w:rsidRPr="00ED2C9B">
              <w:rPr>
                <w:sz w:val="20"/>
                <w:szCs w:val="20"/>
              </w:rPr>
              <w:t>możliwej</w:t>
            </w:r>
            <w:r w:rsidR="002642B8">
              <w:rPr>
                <w:sz w:val="20"/>
                <w:szCs w:val="20"/>
              </w:rPr>
              <w:t xml:space="preserve"> </w:t>
            </w:r>
            <w:r w:rsidR="00FB0B10"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="00FB0B10" w:rsidRPr="00ED2C9B">
              <w:rPr>
                <w:sz w:val="20"/>
                <w:szCs w:val="20"/>
              </w:rPr>
              <w:t>oceny</w:t>
            </w:r>
            <w:r w:rsidRPr="00ED2C9B">
              <w:rPr>
                <w:sz w:val="20"/>
                <w:szCs w:val="20"/>
              </w:rPr>
              <w:t>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aktualnie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obowiązującymi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kryteriami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RECIST;</w:t>
            </w:r>
          </w:p>
          <w:p w14:paraId="72F6D8FF" w14:textId="7BAEED83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nieobecność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istotnych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schorzeń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współistniejących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stanowiących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przeciwskazanie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stwierdzonych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lekarza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prowadzącego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oparciu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odpowiednie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Charakterystyki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Produktu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Leczniczego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wytyczne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Polskiego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Towarzystwa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Onkologii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wątrobowokomórkowego</w:t>
            </w:r>
            <w:proofErr w:type="spellEnd"/>
            <w:r w:rsidRPr="00ED2C9B">
              <w:rPr>
                <w:sz w:val="20"/>
                <w:szCs w:val="20"/>
              </w:rPr>
              <w:t>;</w:t>
            </w:r>
          </w:p>
          <w:p w14:paraId="02EFA1BB" w14:textId="1AFA3E24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lastRenderedPageBreak/>
              <w:t>adekwatna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wydolność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narządowa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określona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podstawie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wyników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laboratoryjnych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krwi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umożliwiająca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opinii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lekarza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prowadzącego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bezpieczne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rozpoczęcie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terapii;</w:t>
            </w:r>
          </w:p>
          <w:p w14:paraId="3E1C3669" w14:textId="38503A3B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brak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przeciwwskazań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stosowania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każdego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leków;</w:t>
            </w:r>
          </w:p>
          <w:p w14:paraId="1348A321" w14:textId="1465DC46" w:rsidR="002F17D0" w:rsidRPr="00ED2C9B" w:rsidRDefault="002F17D0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współistnienia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aktywnych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nowotworów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kwalifikacja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musi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uwzględniać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rokowanie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związane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współistniejącym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nowotworem</w:t>
            </w:r>
            <w:r w:rsidR="00F33888" w:rsidRPr="00ED2C9B">
              <w:rPr>
                <w:sz w:val="20"/>
                <w:szCs w:val="20"/>
              </w:rPr>
              <w:t>;</w:t>
            </w:r>
          </w:p>
          <w:p w14:paraId="137DE152" w14:textId="53C359B6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wykluczenie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ciąży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okresu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karmienia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piersią.</w:t>
            </w:r>
          </w:p>
          <w:p w14:paraId="4751F5DB" w14:textId="062B4550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Powyższe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kryteria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kwalifikacji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muszą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być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spełnione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łącznie.</w:t>
            </w:r>
          </w:p>
          <w:p w14:paraId="2E519E76" w14:textId="59F7F48A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Ponadto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programu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kwalifikowani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również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pacjenci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wymagający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kontynuacji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leczenia</w:t>
            </w:r>
            <w:r w:rsidRPr="00C7370A">
              <w:rPr>
                <w:sz w:val="20"/>
                <w:szCs w:val="20"/>
              </w:rPr>
              <w:t>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którzy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byli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ramach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innego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sposobu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finansowania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terapii,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za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wyjątkiem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trwających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badań</w:t>
            </w:r>
            <w:r w:rsidR="002642B8">
              <w:rPr>
                <w:sz w:val="20"/>
                <w:szCs w:val="20"/>
              </w:rPr>
              <w:t xml:space="preserve"> </w:t>
            </w:r>
            <w:r w:rsidR="00607218" w:rsidRPr="00C7370A">
              <w:rPr>
                <w:sz w:val="20"/>
                <w:szCs w:val="20"/>
              </w:rPr>
              <w:t>klinicznych,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pod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warunkiem,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że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chwili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rozpoczęcia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spełniali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kryteria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kwalifikacji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programu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lekowego.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0C38EEC9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F2D474B" w14:textId="10BCC336" w:rsidR="00F92647" w:rsidRPr="00ED2C9B" w:rsidRDefault="00F92647" w:rsidP="00C7370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Określenie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czasu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leczenia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programie</w:t>
            </w:r>
          </w:p>
          <w:p w14:paraId="071503E2" w14:textId="40DBF3E7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trwa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czasu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podjęcia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przez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lekarza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prowadzącego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decyzji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wyłączeniu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świadczeniobiorcy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programu,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kryteriami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wyłączenia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programu,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których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mowa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pkt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3.</w:t>
            </w:r>
          </w:p>
          <w:p w14:paraId="4C429D7D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2A09A94" w14:textId="2EF20D01" w:rsidR="00F92647" w:rsidRPr="00ED2C9B" w:rsidRDefault="00F92647" w:rsidP="00C7370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Kryteria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wyłączenia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programu</w:t>
            </w:r>
          </w:p>
          <w:p w14:paraId="5656F542" w14:textId="5B416681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progresja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choroby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nowotworowej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oceniona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aktualnie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obowiązującymi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kryteriami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RECIST;</w:t>
            </w:r>
          </w:p>
          <w:p w14:paraId="610BC87B" w14:textId="5E319540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pogorszenie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(istotne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klinicznie)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stanu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pacjenta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związku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nowotworem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bez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progresji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potwierdzonej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przedmiotowym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obrazowym;</w:t>
            </w:r>
          </w:p>
          <w:p w14:paraId="1C16F8EB" w14:textId="26586BC9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wystąpienie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toksyczności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będącej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zagrożeniem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życia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aktualnych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kryteriów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klasyfikacji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CTC-AE;</w:t>
            </w:r>
          </w:p>
          <w:p w14:paraId="385807DE" w14:textId="02BCF821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wystąpienie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nawracającej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nieakceptowalnej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toksyczności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stopniu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3.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4.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aktualnych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kryteriów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klasyfikacji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CTC-AE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(wznowienie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możliwe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ustąpieniu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objawów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toksyczności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zmniejszeniu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nasilenia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stopnia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1.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2.);</w:t>
            </w:r>
          </w:p>
          <w:p w14:paraId="2432A7D7" w14:textId="371D70EF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długotrwałe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pogorszenie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sprawności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ogólnej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stopnia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2-4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kryteriów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ECOG;</w:t>
            </w:r>
          </w:p>
          <w:p w14:paraId="465DB4ED" w14:textId="661D8A6B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wystąpienie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nadwrażliwości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białko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mysie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substancję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pomocniczą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uniemożliwiające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kontynuację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leczenia;</w:t>
            </w:r>
          </w:p>
          <w:p w14:paraId="13F2CF6D" w14:textId="5645D4CE" w:rsidR="00F92647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pogorszenie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jakości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życia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istotnym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znaczeniu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według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lekarza;</w:t>
            </w:r>
          </w:p>
          <w:p w14:paraId="23E4591C" w14:textId="2FF74335" w:rsidR="00565830" w:rsidRPr="00ED2C9B" w:rsidRDefault="00F92647" w:rsidP="00C7370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okres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ciąży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karmienia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piersią</w:t>
            </w:r>
            <w:r w:rsidR="00900C59" w:rsidRPr="00ED2C9B">
              <w:rPr>
                <w:sz w:val="20"/>
                <w:szCs w:val="20"/>
              </w:rPr>
              <w:t>;</w:t>
            </w:r>
          </w:p>
          <w:p w14:paraId="38EA7FE5" w14:textId="31EA5B1C" w:rsidR="00C7370A" w:rsidRPr="002642B8" w:rsidRDefault="00900C59" w:rsidP="00C7370A">
            <w:pPr>
              <w:pStyle w:val="Akapitzlist"/>
              <w:numPr>
                <w:ilvl w:val="3"/>
                <w:numId w:val="3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brak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współpracy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nieprzestrzeganie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zaleceń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lekarskich,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zwłaszcza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dotyczących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okresowych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kontrolnych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oceniających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skuteczność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bezpieczeństwo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strony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świadczeniobiorcy.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AE2" w14:textId="1FAC4E8E" w:rsidR="00900C59" w:rsidRPr="00C7370A" w:rsidRDefault="00900C59" w:rsidP="00C7370A">
            <w:pPr>
              <w:spacing w:before="120"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lastRenderedPageBreak/>
              <w:t>Sposób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podawania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prowadzony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aktualn</w:t>
            </w:r>
            <w:r w:rsidR="00FB0B10" w:rsidRPr="00C7370A">
              <w:rPr>
                <w:sz w:val="20"/>
                <w:szCs w:val="20"/>
              </w:rPr>
              <w:t>ymi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Charakterystykami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Produktu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Leczniczego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(ChPL)</w:t>
            </w:r>
            <w:r w:rsidR="006C06BC" w:rsidRPr="00C7370A">
              <w:rPr>
                <w:sz w:val="20"/>
                <w:szCs w:val="20"/>
              </w:rPr>
              <w:t>.</w:t>
            </w:r>
          </w:p>
          <w:p w14:paraId="083026C3" w14:textId="4A474797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przypadkach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wystąpienia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istotnych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klinicznie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ciężkich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działań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niepożądanych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można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opóźnić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podanie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kolejnej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dawki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leku,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jednak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dłużej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niż:</w:t>
            </w:r>
          </w:p>
          <w:p w14:paraId="3A4BB825" w14:textId="1D4C10A8" w:rsidR="00F92647" w:rsidRPr="00ED2C9B" w:rsidRDefault="00F92647" w:rsidP="00C7370A">
            <w:pPr>
              <w:pStyle w:val="Akapitzlist"/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6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atezolizumabem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bewacyzumabem</w:t>
            </w:r>
            <w:proofErr w:type="spellEnd"/>
            <w:r w:rsidRPr="00ED2C9B">
              <w:rPr>
                <w:sz w:val="20"/>
                <w:szCs w:val="20"/>
              </w:rPr>
              <w:t>;</w:t>
            </w:r>
          </w:p>
          <w:p w14:paraId="05E42ADA" w14:textId="0BDF26F6" w:rsidR="00F92647" w:rsidRPr="00ED2C9B" w:rsidRDefault="00F92647" w:rsidP="00C7370A">
            <w:pPr>
              <w:pStyle w:val="Akapitzlist"/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8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kabozantynibem</w:t>
            </w:r>
            <w:proofErr w:type="spellEnd"/>
            <w:r w:rsidRPr="00ED2C9B">
              <w:rPr>
                <w:sz w:val="20"/>
                <w:szCs w:val="20"/>
              </w:rPr>
              <w:t>.</w:t>
            </w:r>
          </w:p>
          <w:p w14:paraId="1D4CA4A5" w14:textId="1D075285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istotne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klinicznie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ciężkie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działania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niepożądane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zmniejszą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swojego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nasilenia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okresie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6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dla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C7370A">
              <w:rPr>
                <w:sz w:val="20"/>
                <w:szCs w:val="20"/>
              </w:rPr>
              <w:t>atezolizumabu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C7370A">
              <w:rPr>
                <w:sz w:val="20"/>
                <w:szCs w:val="20"/>
              </w:rPr>
              <w:t>bewacyzumabem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8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dla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C7370A">
              <w:rPr>
                <w:sz w:val="20"/>
                <w:szCs w:val="20"/>
              </w:rPr>
              <w:t>kabozantynibu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pomimo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przerwania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podawania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leku,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należy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zakończyć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leczenie.</w:t>
            </w:r>
          </w:p>
          <w:p w14:paraId="7964D8A1" w14:textId="2C4D0C6D" w:rsidR="003F4957" w:rsidRPr="00C7370A" w:rsidRDefault="00900C59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Dopuszczalne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jest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zmniejszenie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wymienionych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poniżej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dawek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aktualną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ChPL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poszczególnych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leków.</w:t>
            </w:r>
          </w:p>
          <w:p w14:paraId="52B8A8DE" w14:textId="130492E5" w:rsidR="003F4957" w:rsidRPr="00ED2C9B" w:rsidRDefault="00F92647" w:rsidP="00C7370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lastRenderedPageBreak/>
              <w:t>Leczenie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raka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inhibitorami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kinaz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tyrozynowych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kabozantynibem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</w:t>
            </w:r>
          </w:p>
          <w:p w14:paraId="3DCB8AFE" w14:textId="2B2EC1DF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Dobowa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dawka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kabozantynibu</w:t>
            </w:r>
            <w:proofErr w:type="spellEnd"/>
            <w:r w:rsidRPr="00ED2C9B">
              <w:rPr>
                <w:sz w:val="20"/>
                <w:szCs w:val="20"/>
              </w:rPr>
              <w:t>: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60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(codziennie).</w:t>
            </w:r>
          </w:p>
          <w:p w14:paraId="449FF688" w14:textId="70B3B8CF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Każdy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cykl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obejmuje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28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leczenia.</w:t>
            </w:r>
          </w:p>
          <w:p w14:paraId="57D829DB" w14:textId="77777777" w:rsidR="003F4957" w:rsidRPr="00ED2C9B" w:rsidRDefault="003F4957" w:rsidP="00ED2C9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47C1AB74" w14:textId="2829696B" w:rsidR="00F92647" w:rsidRPr="00ED2C9B" w:rsidRDefault="00F92647" w:rsidP="00C7370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Immunoterapia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leczeniem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antyangiogennym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atezolizumabem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bewacyzumabem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</w:t>
            </w:r>
          </w:p>
          <w:p w14:paraId="6BDB5821" w14:textId="4EE077E5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Dawka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atezolizumabu</w:t>
            </w:r>
            <w:proofErr w:type="spellEnd"/>
            <w:r w:rsidRPr="00ED2C9B">
              <w:rPr>
                <w:sz w:val="20"/>
                <w:szCs w:val="20"/>
              </w:rPr>
              <w:t>: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1200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mg</w:t>
            </w:r>
          </w:p>
          <w:p w14:paraId="58D0E5C5" w14:textId="009BDE53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Dawka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bewacyzumabu</w:t>
            </w:r>
            <w:proofErr w:type="spellEnd"/>
            <w:r w:rsidRPr="00ED2C9B">
              <w:rPr>
                <w:sz w:val="20"/>
                <w:szCs w:val="20"/>
              </w:rPr>
              <w:t>: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15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mg/kg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masy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ciała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podawanego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dożylnie.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610B931A" w14:textId="4E89EEBC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Leki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stosowane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pierwszego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cyklu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trwającego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3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tygodnie</w:t>
            </w:r>
            <w:r w:rsidRPr="00ED2C9B">
              <w:rPr>
                <w:sz w:val="20"/>
                <w:szCs w:val="20"/>
              </w:rPr>
              <w:t>.</w:t>
            </w:r>
          </w:p>
          <w:p w14:paraId="141732CD" w14:textId="609A0595" w:rsidR="00F92647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możliwości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modyfikacji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dawek.</w:t>
            </w:r>
          </w:p>
          <w:p w14:paraId="17394E42" w14:textId="0BA5D29B" w:rsidR="00196B54" w:rsidRPr="00ED2C9B" w:rsidRDefault="00F92647" w:rsidP="00C7370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kiedy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podawanie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jednego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musi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zostać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zakończone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powodu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objawów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niepożądanych,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można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kontynuować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drugim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monoterapii</w:t>
            </w:r>
            <w:r w:rsidR="002642B8">
              <w:rPr>
                <w:sz w:val="20"/>
                <w:szCs w:val="20"/>
              </w:rPr>
              <w:t>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EED" w14:textId="26C32FB1" w:rsidR="00F92647" w:rsidRPr="00ED2C9B" w:rsidRDefault="00F92647" w:rsidP="00C737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lastRenderedPageBreak/>
              <w:t>Badania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przy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kwalifikacji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C0ADB8" w14:textId="3D3FDB04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potwierdzenie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raka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histologiczne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cytologiczne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radiologiczne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pomocy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kontrastowej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wielofazowej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dynamicznej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CT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MRI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pacjentów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marskością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wątroby);</w:t>
            </w:r>
          </w:p>
          <w:p w14:paraId="03D53A99" w14:textId="71517B77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morfologia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krwi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rozmazem;</w:t>
            </w:r>
          </w:p>
          <w:p w14:paraId="2635AF63" w14:textId="5BA7FA08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badanie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ogólne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moczu;</w:t>
            </w:r>
          </w:p>
          <w:p w14:paraId="74963E75" w14:textId="47F5D3F1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stężenia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mocznika,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kreatyniny,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AspAT,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bilirubiny,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wapnia,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fosfatazy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alkalicznej,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białka,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glukozy,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albumin,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AFP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surowicy;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30DF18F5" w14:textId="4EAC74CC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antygenu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HBS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przeciwciał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anty-</w:t>
            </w:r>
            <w:proofErr w:type="spellStart"/>
            <w:r w:rsidRPr="00ED2C9B">
              <w:rPr>
                <w:sz w:val="20"/>
                <w:szCs w:val="20"/>
              </w:rPr>
              <w:t>HBc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total</w:t>
            </w:r>
            <w:proofErr w:type="spellEnd"/>
            <w:r w:rsidRPr="00ED2C9B">
              <w:rPr>
                <w:sz w:val="20"/>
                <w:szCs w:val="20"/>
              </w:rPr>
              <w:t>.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pozytywnych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wyników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konieczna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jest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konsultacja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lekarza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posiadającego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dostęp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programu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przeciwwirusowego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-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dotyczy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atezolizumabem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bewacyzumabem</w:t>
            </w:r>
            <w:proofErr w:type="spellEnd"/>
            <w:r w:rsidRPr="00ED2C9B">
              <w:rPr>
                <w:sz w:val="20"/>
                <w:szCs w:val="20"/>
              </w:rPr>
              <w:t>;</w:t>
            </w:r>
          </w:p>
          <w:p w14:paraId="79CD4DDC" w14:textId="13030C06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="00C249C8" w:rsidRPr="00ED2C9B">
              <w:rPr>
                <w:sz w:val="20"/>
                <w:szCs w:val="20"/>
              </w:rPr>
              <w:t>f</w:t>
            </w:r>
            <w:r w:rsidRPr="00ED2C9B">
              <w:rPr>
                <w:sz w:val="20"/>
                <w:szCs w:val="20"/>
              </w:rPr>
              <w:t>T4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TSH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-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dotyczy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terapii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atezolizumabem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sz w:val="20"/>
                <w:szCs w:val="20"/>
              </w:rPr>
              <w:t>bewacyzumabem</w:t>
            </w:r>
            <w:proofErr w:type="spellEnd"/>
            <w:r w:rsidRPr="00ED2C9B">
              <w:rPr>
                <w:sz w:val="20"/>
                <w:szCs w:val="20"/>
              </w:rPr>
              <w:t>;</w:t>
            </w:r>
          </w:p>
          <w:p w14:paraId="5430EF7A" w14:textId="10EC75FE" w:rsidR="00F92647" w:rsidRPr="00ED2C9B" w:rsidRDefault="003F495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g</w:t>
            </w:r>
            <w:r w:rsidR="00F92647" w:rsidRPr="00ED2C9B">
              <w:rPr>
                <w:sz w:val="20"/>
                <w:szCs w:val="20"/>
              </w:rPr>
              <w:t>astroskopia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(u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pacjentów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marskością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wątroby)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-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ocena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pod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kątem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występowania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żylaków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przełyku,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badanie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było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wykonane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okresie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6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miesięcy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przed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rozpoczęciem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programie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lekowym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–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dotyczy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terapii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="00F92647" w:rsidRPr="00ED2C9B">
              <w:rPr>
                <w:sz w:val="20"/>
                <w:szCs w:val="20"/>
              </w:rPr>
              <w:t>atezolizumabem</w:t>
            </w:r>
            <w:proofErr w:type="spellEnd"/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skojarzeniu</w:t>
            </w:r>
            <w:r w:rsidR="002642B8">
              <w:rPr>
                <w:sz w:val="20"/>
                <w:szCs w:val="20"/>
              </w:rPr>
              <w:t xml:space="preserve"> </w:t>
            </w:r>
            <w:r w:rsidR="00F92647"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proofErr w:type="spellStart"/>
            <w:r w:rsidR="00F92647" w:rsidRPr="00ED2C9B">
              <w:rPr>
                <w:sz w:val="20"/>
                <w:szCs w:val="20"/>
              </w:rPr>
              <w:t>bewacyzumabem</w:t>
            </w:r>
            <w:proofErr w:type="spellEnd"/>
            <w:r w:rsidR="00F92647" w:rsidRPr="00ED2C9B">
              <w:rPr>
                <w:sz w:val="20"/>
                <w:szCs w:val="20"/>
              </w:rPr>
              <w:t>;</w:t>
            </w:r>
          </w:p>
          <w:p w14:paraId="745FED37" w14:textId="228CD264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lastRenderedPageBreak/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protrombinowego;</w:t>
            </w:r>
          </w:p>
          <w:p w14:paraId="1F1C4547" w14:textId="2805C437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klatki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piersiowej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magnetyczny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rezonans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jamy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brzusznej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miednicy</w:t>
            </w:r>
            <w:r w:rsidR="00C7370A">
              <w:rPr>
                <w:sz w:val="20"/>
                <w:szCs w:val="20"/>
              </w:rPr>
              <w:t>;</w:t>
            </w:r>
          </w:p>
          <w:p w14:paraId="1A9A76A8" w14:textId="004E7210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EKG;</w:t>
            </w:r>
          </w:p>
          <w:p w14:paraId="32C6D7E9" w14:textId="23C4EE13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próba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ciążowa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kobiet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wieku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rozrodczym);</w:t>
            </w:r>
          </w:p>
          <w:p w14:paraId="1155C70F" w14:textId="46565461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pomiar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ciśnienia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tętniczego</w:t>
            </w:r>
            <w:r w:rsidR="003F4957" w:rsidRPr="00ED2C9B">
              <w:rPr>
                <w:sz w:val="20"/>
                <w:szCs w:val="20"/>
              </w:rPr>
              <w:t>;</w:t>
            </w:r>
          </w:p>
          <w:p w14:paraId="22C253E2" w14:textId="6E1C0608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klinicznych.</w:t>
            </w:r>
          </w:p>
          <w:p w14:paraId="1418B8E1" w14:textId="51C13E73" w:rsidR="00F92647" w:rsidRPr="00C7370A" w:rsidRDefault="00F92647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7370A">
              <w:rPr>
                <w:sz w:val="20"/>
                <w:szCs w:val="20"/>
              </w:rPr>
              <w:t>Wstępne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badania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obrazowe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muszą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umożliwić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późniejszą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obiektywną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ocenę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odpowiedzi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wg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aktualnych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kryteriów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C7370A">
              <w:rPr>
                <w:sz w:val="20"/>
                <w:szCs w:val="20"/>
              </w:rPr>
              <w:t>RECIST.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137956EC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ind w:left="270"/>
              <w:jc w:val="both"/>
              <w:rPr>
                <w:sz w:val="20"/>
                <w:szCs w:val="20"/>
              </w:rPr>
            </w:pPr>
          </w:p>
          <w:p w14:paraId="310864A4" w14:textId="0B33DC9D" w:rsidR="00F92647" w:rsidRPr="00ED2C9B" w:rsidRDefault="00F92647" w:rsidP="00C737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Monitorowanie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leczenia</w:t>
            </w:r>
          </w:p>
          <w:p w14:paraId="2A09B74E" w14:textId="64F8D6AD" w:rsidR="00F92647" w:rsidRPr="00ED2C9B" w:rsidRDefault="00F92647" w:rsidP="00C7370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Leczenia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raka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wątrobowokomórkowego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inhibitorami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kinaz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tyrozynowych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kabozantynibem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</w:t>
            </w:r>
          </w:p>
          <w:p w14:paraId="51C9E900" w14:textId="5846ED59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4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chwili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rozpoczynania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kolejnego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28-dniowego</w:t>
            </w:r>
            <w:r w:rsidR="002642B8">
              <w:rPr>
                <w:sz w:val="20"/>
                <w:szCs w:val="20"/>
              </w:rPr>
              <w:t xml:space="preserve"> </w:t>
            </w:r>
            <w:r w:rsidR="00D86C8A" w:rsidRPr="00ED2C9B">
              <w:rPr>
                <w:sz w:val="20"/>
                <w:szCs w:val="20"/>
              </w:rPr>
              <w:t>kursu,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było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czasowo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przerwane):</w:t>
            </w:r>
          </w:p>
          <w:p w14:paraId="49FC91A5" w14:textId="12945BF8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morfologia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krwi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rozmazem,</w:t>
            </w:r>
          </w:p>
          <w:p w14:paraId="796C4F50" w14:textId="5301B561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stężenia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kreatyniny,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AspAT,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bilirubiny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surowicy,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4B2BB13D" w14:textId="7B58EDF0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fosfatazy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alkalicznej,</w:t>
            </w:r>
          </w:p>
          <w:p w14:paraId="663B50B1" w14:textId="32E2415B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pomiar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ciśnienia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tętniczego,</w:t>
            </w:r>
          </w:p>
          <w:p w14:paraId="0C9386D9" w14:textId="552E00D3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-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</w:t>
            </w:r>
            <w:r w:rsidR="00F677DB" w:rsidRPr="00ED2C9B">
              <w:rPr>
                <w:sz w:val="20"/>
                <w:szCs w:val="20"/>
              </w:rPr>
              <w:t>;</w:t>
            </w:r>
          </w:p>
          <w:p w14:paraId="12A8DF91" w14:textId="24AF8F8D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rzadziej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niż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12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zakończeniem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trzeciego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28-dniowego</w:t>
            </w:r>
            <w:r w:rsidR="002642B8">
              <w:rPr>
                <w:sz w:val="20"/>
                <w:szCs w:val="20"/>
              </w:rPr>
              <w:t xml:space="preserve"> </w:t>
            </w:r>
            <w:r w:rsidR="00D86C8A" w:rsidRPr="00ED2C9B">
              <w:rPr>
                <w:sz w:val="20"/>
                <w:szCs w:val="20"/>
              </w:rPr>
              <w:t>kursu,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było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czasowo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przerwane):</w:t>
            </w:r>
          </w:p>
          <w:p w14:paraId="73958202" w14:textId="7F68E1DE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poziomu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AFP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surowicy,</w:t>
            </w:r>
          </w:p>
          <w:p w14:paraId="49A979BE" w14:textId="71B55814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protrombinowego,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05B040F9" w14:textId="03A3D3E9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jamy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brzusznej,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55B946DB" w14:textId="68D160E4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lastRenderedPageBreak/>
              <w:t>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lokalizacji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–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zależności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umiejscowienia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zmian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przerzutowych,</w:t>
            </w:r>
          </w:p>
          <w:p w14:paraId="3FE01474" w14:textId="1BCC2F51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EKG,</w:t>
            </w:r>
          </w:p>
          <w:p w14:paraId="127D7844" w14:textId="4AB3C82A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–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</w:t>
            </w:r>
            <w:r w:rsidR="00F677DB" w:rsidRPr="00ED2C9B">
              <w:rPr>
                <w:sz w:val="20"/>
                <w:szCs w:val="20"/>
              </w:rPr>
              <w:t>;</w:t>
            </w:r>
          </w:p>
          <w:p w14:paraId="727B7F2C" w14:textId="3FD6C357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zawsze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klinicznych:</w:t>
            </w:r>
          </w:p>
          <w:p w14:paraId="06CABD37" w14:textId="40DD21D3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poziomu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AFP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surowicy,</w:t>
            </w:r>
          </w:p>
          <w:p w14:paraId="2AC98EC5" w14:textId="7FD37D9C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protrombinowego,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1176E05B" w14:textId="4625F1AE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odpowiedniej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lokalizacji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obrazowe,</w:t>
            </w:r>
            <w:r w:rsidR="002642B8">
              <w:rPr>
                <w:sz w:val="20"/>
                <w:szCs w:val="20"/>
              </w:rPr>
              <w:t xml:space="preserve"> </w:t>
            </w:r>
          </w:p>
          <w:p w14:paraId="1889ACCC" w14:textId="1619F485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EKG.</w:t>
            </w:r>
          </w:p>
          <w:p w14:paraId="7CC64869" w14:textId="77777777" w:rsidR="003F4957" w:rsidRPr="00ED2C9B" w:rsidRDefault="003F4957" w:rsidP="00ED2C9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74B6C840" w14:textId="5E4B8DF0" w:rsidR="00F92647" w:rsidRPr="00ED2C9B" w:rsidRDefault="00F92647" w:rsidP="00C7370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Immunoterapia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leczeniem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antyangiogennym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atezolizumabem</w:t>
            </w:r>
            <w:proofErr w:type="spellEnd"/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w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skojarzeniu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z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C9B">
              <w:rPr>
                <w:b/>
                <w:bCs/>
                <w:sz w:val="20"/>
                <w:szCs w:val="20"/>
              </w:rPr>
              <w:t>bewacyzumabem</w:t>
            </w:r>
            <w:proofErr w:type="spellEnd"/>
            <w:r w:rsidRPr="00ED2C9B">
              <w:rPr>
                <w:b/>
                <w:bCs/>
                <w:sz w:val="20"/>
                <w:szCs w:val="20"/>
              </w:rPr>
              <w:t>).</w:t>
            </w:r>
          </w:p>
          <w:p w14:paraId="232D3DA8" w14:textId="3BFA68CF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3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chwili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rozpoczęcia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kolejnego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21-dniowego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kursu,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było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czasowo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przerwane:</w:t>
            </w:r>
          </w:p>
          <w:p w14:paraId="19A319FE" w14:textId="2ABC9442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morfologia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krwi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rozmazem,</w:t>
            </w:r>
          </w:p>
          <w:p w14:paraId="2128F573" w14:textId="08794779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AspAT,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AlAT,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bilirubiny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całkowitej,</w:t>
            </w:r>
          </w:p>
          <w:p w14:paraId="3B5CFDE4" w14:textId="31EBDB80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glukozy,</w:t>
            </w:r>
          </w:p>
          <w:p w14:paraId="7984E7BF" w14:textId="3773D732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pomiar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ciśnienia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tętniczego,</w:t>
            </w:r>
          </w:p>
          <w:p w14:paraId="7ABB7502" w14:textId="68D80054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badania-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klinicznych;</w:t>
            </w:r>
          </w:p>
          <w:p w14:paraId="0484B9DA" w14:textId="47784D42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rzadziej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niż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9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przed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rozpoczęciem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czwartego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21-dniowego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kursu,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jeżeli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było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czasowo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przerwane;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przypadku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uzyskania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2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kolejnych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ocenach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najmniej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stabilizacji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choroby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dopuszcza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się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wykonywanie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12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tygodni:</w:t>
            </w:r>
          </w:p>
          <w:p w14:paraId="72DA97DD" w14:textId="7DE33280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poziomu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AFP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surowicy,</w:t>
            </w:r>
          </w:p>
          <w:p w14:paraId="4700F7EA" w14:textId="780B3408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lastRenderedPageBreak/>
              <w:t>badania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obrazowe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(tomografia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komputerowa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rezonans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magnetyczny)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odpowiednich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obszarów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umożliwiające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ocenę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odpowiedzi</w:t>
            </w:r>
            <w:r w:rsidR="00562961" w:rsidRPr="00ED2C9B">
              <w:rPr>
                <w:sz w:val="20"/>
                <w:szCs w:val="20"/>
              </w:rPr>
              <w:t>,</w:t>
            </w:r>
          </w:p>
          <w:p w14:paraId="0B33A4F4" w14:textId="6C9E139B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oznaczenie</w:t>
            </w:r>
            <w:r w:rsidR="002642B8">
              <w:rPr>
                <w:sz w:val="20"/>
                <w:szCs w:val="20"/>
              </w:rPr>
              <w:t xml:space="preserve"> </w:t>
            </w:r>
            <w:r w:rsidR="002F17D0" w:rsidRPr="00ED2C9B">
              <w:rPr>
                <w:sz w:val="20"/>
                <w:szCs w:val="20"/>
              </w:rPr>
              <w:t>f</w:t>
            </w:r>
            <w:r w:rsidRPr="00ED2C9B">
              <w:rPr>
                <w:sz w:val="20"/>
                <w:szCs w:val="20"/>
              </w:rPr>
              <w:t>T4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TSH</w:t>
            </w:r>
            <w:r w:rsidR="00562961" w:rsidRPr="00ED2C9B">
              <w:rPr>
                <w:sz w:val="20"/>
                <w:szCs w:val="20"/>
              </w:rPr>
              <w:t>,</w:t>
            </w:r>
          </w:p>
          <w:p w14:paraId="574BC90E" w14:textId="766CE39F" w:rsidR="00F92647" w:rsidRPr="00ED2C9B" w:rsidRDefault="00F92647" w:rsidP="00C7370A">
            <w:pPr>
              <w:pStyle w:val="Akapitzlist"/>
              <w:numPr>
                <w:ilvl w:val="4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inne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badania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–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razie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wskazań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klinicznych.</w:t>
            </w:r>
          </w:p>
          <w:p w14:paraId="116D0291" w14:textId="77777777" w:rsidR="00F92647" w:rsidRPr="00ED2C9B" w:rsidRDefault="00F92647" w:rsidP="00ED2C9B">
            <w:pPr>
              <w:autoSpaceDE w:val="0"/>
              <w:autoSpaceDN w:val="0"/>
              <w:adjustRightInd w:val="0"/>
              <w:spacing w:after="60" w:line="276" w:lineRule="auto"/>
              <w:ind w:left="270"/>
              <w:jc w:val="both"/>
              <w:rPr>
                <w:sz w:val="20"/>
                <w:szCs w:val="20"/>
              </w:rPr>
            </w:pPr>
          </w:p>
          <w:p w14:paraId="1E083E68" w14:textId="2BEB2C9E" w:rsidR="00F92647" w:rsidRPr="00ED2C9B" w:rsidRDefault="00F92647" w:rsidP="00C737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ED2C9B">
              <w:rPr>
                <w:b/>
                <w:bCs/>
                <w:sz w:val="20"/>
                <w:szCs w:val="20"/>
              </w:rPr>
              <w:t>Monitorowanie</w:t>
            </w:r>
            <w:r w:rsidR="002642B8">
              <w:rPr>
                <w:b/>
                <w:bCs/>
                <w:sz w:val="20"/>
                <w:szCs w:val="20"/>
              </w:rPr>
              <w:t xml:space="preserve"> </w:t>
            </w:r>
            <w:r w:rsidRPr="00ED2C9B">
              <w:rPr>
                <w:b/>
                <w:bCs/>
                <w:sz w:val="20"/>
                <w:szCs w:val="20"/>
              </w:rPr>
              <w:t>programu</w:t>
            </w:r>
          </w:p>
          <w:p w14:paraId="3D4EEB6E" w14:textId="757DAE5C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gromadzenie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dokumentacji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medycznej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pacjenta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danych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dotyczących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monitorowania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każdorazowe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przedstawianie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żądanie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kontrolerów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Narodowego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Funduszu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Zdrowia;</w:t>
            </w:r>
          </w:p>
          <w:p w14:paraId="17AAB806" w14:textId="16AB5947" w:rsidR="00F92647" w:rsidRPr="00ED2C9B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uzupełnienie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danych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zawartych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elektronicznym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systemie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monitorowania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programów</w:t>
            </w:r>
            <w:r w:rsidR="002642B8">
              <w:rPr>
                <w:sz w:val="20"/>
                <w:szCs w:val="20"/>
              </w:rPr>
              <w:t xml:space="preserve"> </w:t>
            </w:r>
            <w:r w:rsidR="00900C59" w:rsidRPr="00ED2C9B">
              <w:rPr>
                <w:sz w:val="20"/>
                <w:szCs w:val="20"/>
              </w:rPr>
              <w:t>lekowych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dostępnym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pomocą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aplikacji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internetowej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udostępnionej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NFZ,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częstotliwością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zgodną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opisem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programu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oraz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zakończenie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leczenia;</w:t>
            </w:r>
          </w:p>
          <w:p w14:paraId="2D2B5757" w14:textId="7290EF03" w:rsidR="00690FA9" w:rsidRDefault="00F92647" w:rsidP="00C7370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ED2C9B">
              <w:rPr>
                <w:sz w:val="20"/>
                <w:szCs w:val="20"/>
              </w:rPr>
              <w:t>przekazywanie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informacji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sprawozdawczo-rozliczeniowych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NFZ: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informacje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przekazuje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się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do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NFZ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formie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papierowej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lub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formie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elektronicznej,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zgodnie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wymaganiami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opublikowanymi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przez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Narodowy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Fundusz</w:t>
            </w:r>
            <w:r w:rsidR="002642B8">
              <w:rPr>
                <w:sz w:val="20"/>
                <w:szCs w:val="20"/>
              </w:rPr>
              <w:t xml:space="preserve"> </w:t>
            </w:r>
            <w:r w:rsidRPr="00ED2C9B">
              <w:rPr>
                <w:sz w:val="20"/>
                <w:szCs w:val="20"/>
              </w:rPr>
              <w:t>Zdrowia.</w:t>
            </w:r>
          </w:p>
          <w:p w14:paraId="0C7BFA32" w14:textId="713C30DC" w:rsidR="00C7370A" w:rsidRPr="00C7370A" w:rsidRDefault="00C7370A" w:rsidP="00C7370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9BEF25D" w14:textId="77777777" w:rsidR="00221D34" w:rsidRPr="00E43594" w:rsidRDefault="00221D34" w:rsidP="00221D34">
      <w:pPr>
        <w:autoSpaceDE w:val="0"/>
        <w:autoSpaceDN w:val="0"/>
        <w:adjustRightInd w:val="0"/>
        <w:rPr>
          <w:rFonts w:ascii="Courier New" w:hAnsi="Courier New"/>
        </w:rPr>
      </w:pPr>
    </w:p>
    <w:sectPr w:rsidR="00221D34" w:rsidRPr="00E43594" w:rsidSect="00471B0F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2BA2" w14:textId="77777777" w:rsidR="002C1BE0" w:rsidRDefault="002C1BE0" w:rsidP="00BF49D7">
      <w:r>
        <w:separator/>
      </w:r>
    </w:p>
  </w:endnote>
  <w:endnote w:type="continuationSeparator" w:id="0">
    <w:p w14:paraId="71618A6B" w14:textId="77777777" w:rsidR="002C1BE0" w:rsidRDefault="002C1BE0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0B36" w14:textId="77777777" w:rsidR="002C1BE0" w:rsidRDefault="002C1BE0" w:rsidP="00BF49D7">
      <w:r>
        <w:separator/>
      </w:r>
    </w:p>
  </w:footnote>
  <w:footnote w:type="continuationSeparator" w:id="0">
    <w:p w14:paraId="25CF4DF2" w14:textId="77777777" w:rsidR="002C1BE0" w:rsidRDefault="002C1BE0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7F8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" w15:restartNumberingAfterBreak="0">
    <w:nsid w:val="03AD3F2B"/>
    <w:multiLevelType w:val="hybridMultilevel"/>
    <w:tmpl w:val="FA62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C84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7073851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C19463E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1F64156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A124993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BAD7514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62D4481"/>
    <w:multiLevelType w:val="hybridMultilevel"/>
    <w:tmpl w:val="8F3A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6661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21801A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30761C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34A263C2"/>
    <w:multiLevelType w:val="hybridMultilevel"/>
    <w:tmpl w:val="FCDADC16"/>
    <w:lvl w:ilvl="0" w:tplc="3626D9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E6097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35D90CEF"/>
    <w:multiLevelType w:val="hybridMultilevel"/>
    <w:tmpl w:val="23D880B2"/>
    <w:lvl w:ilvl="0" w:tplc="B72EE7F2">
      <w:start w:val="1"/>
      <w:numFmt w:val="decimal"/>
      <w:lvlText w:val="%1)"/>
      <w:lvlJc w:val="left"/>
      <w:pPr>
        <w:ind w:left="12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15" w15:restartNumberingAfterBreak="0">
    <w:nsid w:val="38D50348"/>
    <w:multiLevelType w:val="hybridMultilevel"/>
    <w:tmpl w:val="82C8A858"/>
    <w:lvl w:ilvl="0" w:tplc="ED102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6F7BE4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4C8E2B0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4E781C9B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501A4EB3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53634FC3"/>
    <w:multiLevelType w:val="hybridMultilevel"/>
    <w:tmpl w:val="6AFA5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A6DF6"/>
    <w:multiLevelType w:val="hybridMultilevel"/>
    <w:tmpl w:val="58E4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6A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4DA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58207B79"/>
    <w:multiLevelType w:val="hybridMultilevel"/>
    <w:tmpl w:val="4AFC31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A1346A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5C754D88"/>
    <w:multiLevelType w:val="hybridMultilevel"/>
    <w:tmpl w:val="9FD664FC"/>
    <w:lvl w:ilvl="0" w:tplc="434ACA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E0F2AF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63712BEE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63FB68C3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647B0C72"/>
    <w:multiLevelType w:val="hybridMultilevel"/>
    <w:tmpl w:val="79B463E2"/>
    <w:lvl w:ilvl="0" w:tplc="54BE7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DD5F97"/>
    <w:multiLevelType w:val="hybridMultilevel"/>
    <w:tmpl w:val="AA7284AC"/>
    <w:lvl w:ilvl="0" w:tplc="2DC2D0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8412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709F40F8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58472822">
    <w:abstractNumId w:val="14"/>
  </w:num>
  <w:num w:numId="2" w16cid:durableId="1023827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419019">
    <w:abstractNumId w:val="20"/>
  </w:num>
  <w:num w:numId="4" w16cid:durableId="477651050">
    <w:abstractNumId w:val="12"/>
  </w:num>
  <w:num w:numId="5" w16cid:durableId="179589567">
    <w:abstractNumId w:val="23"/>
  </w:num>
  <w:num w:numId="6" w16cid:durableId="1982728185">
    <w:abstractNumId w:val="29"/>
  </w:num>
  <w:num w:numId="7" w16cid:durableId="556355255">
    <w:abstractNumId w:val="27"/>
  </w:num>
  <w:num w:numId="8" w16cid:durableId="84234624">
    <w:abstractNumId w:val="8"/>
  </w:num>
  <w:num w:numId="9" w16cid:durableId="1183780089">
    <w:abstractNumId w:val="1"/>
  </w:num>
  <w:num w:numId="10" w16cid:durableId="1723290777">
    <w:abstractNumId w:val="21"/>
  </w:num>
  <w:num w:numId="11" w16cid:durableId="23749199">
    <w:abstractNumId w:val="4"/>
  </w:num>
  <w:num w:numId="12" w16cid:durableId="1134250331">
    <w:abstractNumId w:val="3"/>
  </w:num>
  <w:num w:numId="13" w16cid:durableId="348485978">
    <w:abstractNumId w:val="32"/>
  </w:num>
  <w:num w:numId="14" w16cid:durableId="221990069">
    <w:abstractNumId w:val="19"/>
  </w:num>
  <w:num w:numId="15" w16cid:durableId="1003045398">
    <w:abstractNumId w:val="9"/>
  </w:num>
  <w:num w:numId="16" w16cid:durableId="1658725121">
    <w:abstractNumId w:val="31"/>
  </w:num>
  <w:num w:numId="17" w16cid:durableId="496044169">
    <w:abstractNumId w:val="13"/>
  </w:num>
  <w:num w:numId="18" w16cid:durableId="226650511">
    <w:abstractNumId w:val="0"/>
  </w:num>
  <w:num w:numId="19" w16cid:durableId="1034883298">
    <w:abstractNumId w:val="5"/>
  </w:num>
  <w:num w:numId="20" w16cid:durableId="1957910418">
    <w:abstractNumId w:val="10"/>
  </w:num>
  <w:num w:numId="21" w16cid:durableId="1265698159">
    <w:abstractNumId w:val="25"/>
  </w:num>
  <w:num w:numId="22" w16cid:durableId="1414738196">
    <w:abstractNumId w:val="7"/>
  </w:num>
  <w:num w:numId="23" w16cid:durableId="1032732621">
    <w:abstractNumId w:val="24"/>
  </w:num>
  <w:num w:numId="24" w16cid:durableId="239364337">
    <w:abstractNumId w:val="30"/>
  </w:num>
  <w:num w:numId="25" w16cid:durableId="328990798">
    <w:abstractNumId w:val="18"/>
  </w:num>
  <w:num w:numId="26" w16cid:durableId="1036468982">
    <w:abstractNumId w:val="6"/>
  </w:num>
  <w:num w:numId="27" w16cid:durableId="995768862">
    <w:abstractNumId w:val="28"/>
  </w:num>
  <w:num w:numId="28" w16cid:durableId="464664445">
    <w:abstractNumId w:val="16"/>
  </w:num>
  <w:num w:numId="29" w16cid:durableId="1550991022">
    <w:abstractNumId w:val="11"/>
  </w:num>
  <w:num w:numId="30" w16cid:durableId="1725368983">
    <w:abstractNumId w:val="2"/>
  </w:num>
  <w:num w:numId="31" w16cid:durableId="912810245">
    <w:abstractNumId w:val="26"/>
  </w:num>
  <w:num w:numId="32" w16cid:durableId="1168405229">
    <w:abstractNumId w:val="22"/>
  </w:num>
  <w:num w:numId="33" w16cid:durableId="1800342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43"/>
    <w:rsid w:val="00001AF1"/>
    <w:rsid w:val="000814F5"/>
    <w:rsid w:val="00084FB8"/>
    <w:rsid w:val="000A79AC"/>
    <w:rsid w:val="000C36D5"/>
    <w:rsid w:val="000C4794"/>
    <w:rsid w:val="00133821"/>
    <w:rsid w:val="001349B5"/>
    <w:rsid w:val="001361F1"/>
    <w:rsid w:val="00144C47"/>
    <w:rsid w:val="001824BF"/>
    <w:rsid w:val="0019143B"/>
    <w:rsid w:val="00196B54"/>
    <w:rsid w:val="001B67B4"/>
    <w:rsid w:val="001E3E14"/>
    <w:rsid w:val="001F2F10"/>
    <w:rsid w:val="00221D34"/>
    <w:rsid w:val="002642B8"/>
    <w:rsid w:val="00265363"/>
    <w:rsid w:val="0028213B"/>
    <w:rsid w:val="002B3B8C"/>
    <w:rsid w:val="002B44DE"/>
    <w:rsid w:val="002C1BE0"/>
    <w:rsid w:val="002F17D0"/>
    <w:rsid w:val="00330EF9"/>
    <w:rsid w:val="003B7CF8"/>
    <w:rsid w:val="003D03C4"/>
    <w:rsid w:val="003F4957"/>
    <w:rsid w:val="003F4A58"/>
    <w:rsid w:val="004311BB"/>
    <w:rsid w:val="00471B0F"/>
    <w:rsid w:val="00472B65"/>
    <w:rsid w:val="00486F50"/>
    <w:rsid w:val="00497A25"/>
    <w:rsid w:val="004A797A"/>
    <w:rsid w:val="004B0757"/>
    <w:rsid w:val="00512373"/>
    <w:rsid w:val="00523C92"/>
    <w:rsid w:val="00536D7D"/>
    <w:rsid w:val="00547315"/>
    <w:rsid w:val="00562961"/>
    <w:rsid w:val="00565830"/>
    <w:rsid w:val="005B2261"/>
    <w:rsid w:val="005E417B"/>
    <w:rsid w:val="00604B8D"/>
    <w:rsid w:val="00607218"/>
    <w:rsid w:val="00627BDE"/>
    <w:rsid w:val="00642045"/>
    <w:rsid w:val="00642C07"/>
    <w:rsid w:val="006519A0"/>
    <w:rsid w:val="00660EF0"/>
    <w:rsid w:val="006864B7"/>
    <w:rsid w:val="00690781"/>
    <w:rsid w:val="00690FA9"/>
    <w:rsid w:val="006B464C"/>
    <w:rsid w:val="006B5357"/>
    <w:rsid w:val="006C06BC"/>
    <w:rsid w:val="00743C43"/>
    <w:rsid w:val="00766318"/>
    <w:rsid w:val="007820ED"/>
    <w:rsid w:val="00786E34"/>
    <w:rsid w:val="007B34F4"/>
    <w:rsid w:val="007D188D"/>
    <w:rsid w:val="007D1A28"/>
    <w:rsid w:val="007F66F8"/>
    <w:rsid w:val="008026DC"/>
    <w:rsid w:val="008118B8"/>
    <w:rsid w:val="00830520"/>
    <w:rsid w:val="0083097B"/>
    <w:rsid w:val="00872E2D"/>
    <w:rsid w:val="008B6EA7"/>
    <w:rsid w:val="008F26E6"/>
    <w:rsid w:val="00900C59"/>
    <w:rsid w:val="009116A6"/>
    <w:rsid w:val="00936C94"/>
    <w:rsid w:val="009530A8"/>
    <w:rsid w:val="00963F9B"/>
    <w:rsid w:val="00966F29"/>
    <w:rsid w:val="00973771"/>
    <w:rsid w:val="00977709"/>
    <w:rsid w:val="009878D2"/>
    <w:rsid w:val="009A0663"/>
    <w:rsid w:val="009B4469"/>
    <w:rsid w:val="009B538D"/>
    <w:rsid w:val="00A23F3F"/>
    <w:rsid w:val="00A6241F"/>
    <w:rsid w:val="00A70DFE"/>
    <w:rsid w:val="00AC597A"/>
    <w:rsid w:val="00AF0963"/>
    <w:rsid w:val="00AF4EA2"/>
    <w:rsid w:val="00B11596"/>
    <w:rsid w:val="00B152A6"/>
    <w:rsid w:val="00B26AEF"/>
    <w:rsid w:val="00B42D08"/>
    <w:rsid w:val="00B632A5"/>
    <w:rsid w:val="00B819C7"/>
    <w:rsid w:val="00B900A4"/>
    <w:rsid w:val="00B90EB7"/>
    <w:rsid w:val="00B91632"/>
    <w:rsid w:val="00BB08D1"/>
    <w:rsid w:val="00BC6CF9"/>
    <w:rsid w:val="00BD51B5"/>
    <w:rsid w:val="00BF49D7"/>
    <w:rsid w:val="00C07DA7"/>
    <w:rsid w:val="00C2457C"/>
    <w:rsid w:val="00C249C8"/>
    <w:rsid w:val="00C2602F"/>
    <w:rsid w:val="00C2747E"/>
    <w:rsid w:val="00C43C2B"/>
    <w:rsid w:val="00C60F36"/>
    <w:rsid w:val="00C71B35"/>
    <w:rsid w:val="00C7370A"/>
    <w:rsid w:val="00C82603"/>
    <w:rsid w:val="00C829CC"/>
    <w:rsid w:val="00CA491B"/>
    <w:rsid w:val="00CB3D45"/>
    <w:rsid w:val="00CB5855"/>
    <w:rsid w:val="00CD0F4E"/>
    <w:rsid w:val="00CF4389"/>
    <w:rsid w:val="00D1157B"/>
    <w:rsid w:val="00D23E49"/>
    <w:rsid w:val="00D24D72"/>
    <w:rsid w:val="00D86C8A"/>
    <w:rsid w:val="00DA24DF"/>
    <w:rsid w:val="00DA6460"/>
    <w:rsid w:val="00DD03AB"/>
    <w:rsid w:val="00E23E9D"/>
    <w:rsid w:val="00E43594"/>
    <w:rsid w:val="00E7549C"/>
    <w:rsid w:val="00EA131E"/>
    <w:rsid w:val="00EA4C7E"/>
    <w:rsid w:val="00ED2C9B"/>
    <w:rsid w:val="00EE46A8"/>
    <w:rsid w:val="00F33888"/>
    <w:rsid w:val="00F3571E"/>
    <w:rsid w:val="00F67349"/>
    <w:rsid w:val="00F677DB"/>
    <w:rsid w:val="00F92647"/>
    <w:rsid w:val="00FB0B10"/>
    <w:rsid w:val="00FD14E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89D4"/>
  <w15:docId w15:val="{43EFE97B-0737-4B4E-9299-490AB5B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99"/>
    <w:qFormat/>
    <w:rsid w:val="00766318"/>
    <w:pPr>
      <w:ind w:left="720"/>
      <w:contextualSpacing/>
    </w:pPr>
  </w:style>
  <w:style w:type="paragraph" w:styleId="Poprawka">
    <w:name w:val="Revision"/>
    <w:hidden/>
    <w:uiPriority w:val="99"/>
    <w:semiHidden/>
    <w:rsid w:val="007820ED"/>
    <w:rPr>
      <w:sz w:val="24"/>
      <w:szCs w:val="24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900C5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B0B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0B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0B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0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0B10"/>
    <w:rPr>
      <w:b/>
      <w:bCs/>
    </w:rPr>
  </w:style>
  <w:style w:type="character" w:customStyle="1" w:styleId="cf01">
    <w:name w:val="cf01"/>
    <w:basedOn w:val="Domylnaczcionkaakapitu"/>
    <w:rsid w:val="002F17D0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0">
    <w:name w:val="pf0"/>
    <w:basedOn w:val="Normalny"/>
    <w:rsid w:val="006C06BC"/>
    <w:pPr>
      <w:spacing w:before="100" w:beforeAutospacing="1" w:after="100" w:afterAutospacing="1"/>
    </w:pPr>
  </w:style>
  <w:style w:type="character" w:customStyle="1" w:styleId="ui-provider">
    <w:name w:val="ui-provider"/>
    <w:basedOn w:val="Domylnaczcionkaakapitu"/>
    <w:rsid w:val="00B2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E8DA-55A0-4592-AE88-4649CCE5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Company>Ministerstwo Zdrowia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</dc:title>
  <dc:subject>Opis programu lekowego</dc:subject>
  <dc:creator>Ministerstwo Zdrowia</dc:creator>
  <cp:lastModifiedBy>Królak-Buzakowska Joanna</cp:lastModifiedBy>
  <cp:revision>4</cp:revision>
  <cp:lastPrinted>2014-05-08T07:00:00Z</cp:lastPrinted>
  <dcterms:created xsi:type="dcterms:W3CDTF">2023-04-12T08:51:00Z</dcterms:created>
  <dcterms:modified xsi:type="dcterms:W3CDTF">2023-04-14T11:06:00Z</dcterms:modified>
</cp:coreProperties>
</file>